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B4" w:rsidRDefault="001017B4"/>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Pr="008B1951" w:rsidRDefault="00812BA7">
      <w:pPr>
        <w:rPr>
          <w:b/>
          <w:sz w:val="40"/>
          <w:szCs w:val="28"/>
        </w:rPr>
      </w:pPr>
      <w:r w:rsidRPr="008B1951">
        <w:rPr>
          <w:b/>
          <w:sz w:val="40"/>
          <w:szCs w:val="28"/>
        </w:rPr>
        <w:t>Reflective Writing</w:t>
      </w:r>
      <w:r w:rsidR="00AD6F23" w:rsidRPr="008B1951">
        <w:rPr>
          <w:b/>
          <w:sz w:val="40"/>
          <w:szCs w:val="28"/>
        </w:rPr>
        <w:t xml:space="preserve"> </w:t>
      </w:r>
      <w:r w:rsidR="006C280D" w:rsidRPr="008B1951">
        <w:rPr>
          <w:b/>
          <w:sz w:val="40"/>
          <w:szCs w:val="28"/>
        </w:rPr>
        <w:t>#</w:t>
      </w:r>
      <w:r w:rsidR="00643049">
        <w:rPr>
          <w:b/>
          <w:sz w:val="40"/>
          <w:szCs w:val="28"/>
        </w:rPr>
        <w:t>2</w:t>
      </w:r>
      <w:r w:rsidR="006C280D" w:rsidRPr="008B1951">
        <w:rPr>
          <w:b/>
          <w:sz w:val="40"/>
          <w:szCs w:val="28"/>
        </w:rPr>
        <w:t xml:space="preserve"> </w:t>
      </w:r>
      <w:r w:rsidR="00AD6F23" w:rsidRPr="008B1951">
        <w:rPr>
          <w:b/>
          <w:sz w:val="40"/>
          <w:szCs w:val="28"/>
        </w:rPr>
        <w:t xml:space="preserve">– </w:t>
      </w:r>
      <w:r w:rsidR="00643049">
        <w:rPr>
          <w:b/>
          <w:sz w:val="40"/>
          <w:szCs w:val="28"/>
        </w:rPr>
        <w:t>As team teachers we all bring…..</w:t>
      </w:r>
    </w:p>
    <w:p w:rsidR="00812BA7" w:rsidRPr="008B1951" w:rsidRDefault="00812BA7">
      <w:pPr>
        <w:rPr>
          <w:b/>
          <w:sz w:val="32"/>
        </w:rPr>
      </w:pPr>
      <w:r w:rsidRPr="008B1951">
        <w:rPr>
          <w:b/>
          <w:sz w:val="32"/>
        </w:rPr>
        <w:t>PDIP 32</w:t>
      </w:r>
      <w:r w:rsidR="004B4FD9">
        <w:rPr>
          <w:b/>
          <w:sz w:val="32"/>
        </w:rPr>
        <w:t>60 Professional Practice</w:t>
      </w:r>
    </w:p>
    <w:p w:rsidR="00812BA7" w:rsidRPr="008B1951" w:rsidRDefault="00AB7907">
      <w:pPr>
        <w:rPr>
          <w:rFonts w:ascii="Calibri" w:hAnsi="Calibri"/>
          <w:b/>
          <w:color w:val="000000"/>
          <w:sz w:val="32"/>
        </w:rPr>
      </w:pPr>
      <w:r w:rsidRPr="008B1951">
        <w:rPr>
          <w:rFonts w:ascii="Calibri" w:hAnsi="Calibri"/>
          <w:b/>
          <w:color w:val="000000"/>
          <w:sz w:val="32"/>
        </w:rPr>
        <w:t>000389027</w:t>
      </w:r>
    </w:p>
    <w:p w:rsidR="00AB7907" w:rsidRPr="008B1951" w:rsidRDefault="00AB7907">
      <w:pPr>
        <w:rPr>
          <w:rFonts w:ascii="Calibri" w:hAnsi="Calibri"/>
          <w:b/>
          <w:color w:val="000000"/>
          <w:sz w:val="32"/>
        </w:rPr>
      </w:pPr>
      <w:r w:rsidRPr="008B1951">
        <w:rPr>
          <w:rFonts w:ascii="Calibri" w:hAnsi="Calibri"/>
          <w:b/>
          <w:color w:val="000000"/>
          <w:sz w:val="32"/>
        </w:rPr>
        <w:t xml:space="preserve">Peter Robertson </w:t>
      </w:r>
    </w:p>
    <w:p w:rsidR="00AB7907" w:rsidRPr="008B1951" w:rsidRDefault="004B4FD9">
      <w:pPr>
        <w:rPr>
          <w:rFonts w:ascii="Calibri" w:hAnsi="Calibri"/>
          <w:b/>
          <w:color w:val="000000"/>
          <w:sz w:val="32"/>
        </w:rPr>
      </w:pPr>
      <w:r>
        <w:rPr>
          <w:rFonts w:ascii="Calibri" w:hAnsi="Calibri"/>
          <w:b/>
          <w:color w:val="000000"/>
          <w:sz w:val="32"/>
        </w:rPr>
        <w:t>January 6</w:t>
      </w:r>
      <w:r w:rsidRPr="004B4FD9">
        <w:rPr>
          <w:rFonts w:ascii="Calibri" w:hAnsi="Calibri"/>
          <w:b/>
          <w:color w:val="000000"/>
          <w:sz w:val="32"/>
          <w:vertAlign w:val="superscript"/>
        </w:rPr>
        <w:t>th</w:t>
      </w:r>
      <w:r>
        <w:rPr>
          <w:rFonts w:ascii="Calibri" w:hAnsi="Calibri"/>
          <w:b/>
          <w:color w:val="000000"/>
          <w:sz w:val="32"/>
        </w:rPr>
        <w:t xml:space="preserve"> 2017</w:t>
      </w:r>
    </w:p>
    <w:p w:rsidR="00AB7907" w:rsidRPr="008B1951" w:rsidRDefault="00AB7907">
      <w:pPr>
        <w:rPr>
          <w:rFonts w:ascii="Calibri" w:hAnsi="Calibri"/>
          <w:b/>
          <w:color w:val="000000"/>
          <w:sz w:val="32"/>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BF0462" w:rsidP="00AB7907">
      <w:pPr>
        <w:spacing w:line="300" w:lineRule="atLeast"/>
        <w:rPr>
          <w:rFonts w:ascii="Verdana" w:hAnsi="Verdana" w:cs="Helvetica"/>
          <w:b/>
          <w:bCs/>
          <w:color w:val="006600"/>
          <w:sz w:val="20"/>
          <w:szCs w:val="20"/>
          <w:lang w:val="en"/>
        </w:rPr>
      </w:pPr>
      <w:r>
        <w:rPr>
          <w:rFonts w:ascii="Verdana" w:hAnsi="Verdana" w:cs="Helvetica"/>
          <w:b/>
          <w:bCs/>
          <w:color w:val="006600"/>
          <w:sz w:val="20"/>
          <w:szCs w:val="20"/>
          <w:lang w:val="en"/>
        </w:rPr>
        <w:t>PIDP 3</w:t>
      </w:r>
      <w:r w:rsidR="00B3292D">
        <w:rPr>
          <w:rFonts w:ascii="Verdana" w:hAnsi="Verdana" w:cs="Helvetica"/>
          <w:b/>
          <w:bCs/>
          <w:color w:val="006600"/>
          <w:sz w:val="20"/>
          <w:szCs w:val="20"/>
          <w:lang w:val="en"/>
        </w:rPr>
        <w:t>2</w:t>
      </w:r>
      <w:r w:rsidR="004B4FD9">
        <w:rPr>
          <w:rFonts w:ascii="Verdana" w:hAnsi="Verdana" w:cs="Helvetica"/>
          <w:b/>
          <w:bCs/>
          <w:color w:val="006600"/>
          <w:sz w:val="20"/>
          <w:szCs w:val="20"/>
          <w:lang w:val="en"/>
        </w:rPr>
        <w:t>60</w:t>
      </w:r>
      <w:r>
        <w:rPr>
          <w:rFonts w:ascii="Verdana" w:hAnsi="Verdana" w:cs="Helvetica"/>
          <w:b/>
          <w:bCs/>
          <w:color w:val="006600"/>
          <w:sz w:val="20"/>
          <w:szCs w:val="20"/>
          <w:lang w:val="en"/>
        </w:rPr>
        <w:t xml:space="preserve"> </w:t>
      </w:r>
      <w:r w:rsidR="004B4FD9">
        <w:rPr>
          <w:rFonts w:ascii="Verdana" w:hAnsi="Verdana" w:cs="Helvetica"/>
          <w:b/>
          <w:bCs/>
          <w:color w:val="006600"/>
          <w:sz w:val="20"/>
          <w:szCs w:val="20"/>
          <w:lang w:val="en"/>
        </w:rPr>
        <w:t>Professional Development</w:t>
      </w:r>
      <w:r>
        <w:rPr>
          <w:rFonts w:ascii="Verdana" w:hAnsi="Verdana" w:cs="Helvetica"/>
          <w:b/>
          <w:bCs/>
          <w:color w:val="006600"/>
          <w:sz w:val="20"/>
          <w:szCs w:val="20"/>
          <w:lang w:val="en"/>
        </w:rPr>
        <w:t xml:space="preserve"> </w:t>
      </w:r>
    </w:p>
    <w:p w:rsidR="00643049" w:rsidRDefault="00643049" w:rsidP="00AB7907">
      <w:pPr>
        <w:spacing w:line="300" w:lineRule="atLeast"/>
        <w:rPr>
          <w:rFonts w:ascii="Verdana" w:hAnsi="Verdana" w:cs="Helvetica"/>
          <w:b/>
          <w:bCs/>
          <w:color w:val="006600"/>
          <w:sz w:val="20"/>
          <w:szCs w:val="20"/>
          <w:lang w:val="en"/>
        </w:rPr>
      </w:pPr>
    </w:p>
    <w:p w:rsidR="00643049" w:rsidRPr="00AB7907" w:rsidRDefault="00643049" w:rsidP="00AB7907">
      <w:pPr>
        <w:spacing w:line="300" w:lineRule="atLeast"/>
        <w:rPr>
          <w:rFonts w:ascii="PT Sans Regular" w:hAnsi="PT Sans Regular" w:cs="Helvetica"/>
          <w:color w:val="444444"/>
          <w:sz w:val="21"/>
          <w:szCs w:val="21"/>
          <w:lang w:val="en"/>
        </w:rPr>
      </w:pPr>
    </w:p>
    <w:p w:rsidR="00564737" w:rsidRDefault="00643049">
      <w:pPr>
        <w:rPr>
          <w:rFonts w:ascii="Calibri" w:hAnsi="Calibri"/>
          <w:color w:val="000000"/>
        </w:rPr>
      </w:pPr>
      <w:r>
        <w:rPr>
          <w:lang w:val="en"/>
        </w:rPr>
        <w:t>“As teachers we all bring different gifts, and handicaps, to the table” (Brookfield, 2015, p. 102).</w:t>
      </w:r>
    </w:p>
    <w:p w:rsidR="000D511B" w:rsidRDefault="000D511B" w:rsidP="00643049">
      <w:pPr>
        <w:spacing w:before="100" w:beforeAutospacing="1" w:after="100" w:afterAutospacing="1"/>
        <w:rPr>
          <w:rFonts w:asciiTheme="minorHAnsi" w:hAnsiTheme="minorHAnsi"/>
          <w:sz w:val="28"/>
          <w:szCs w:val="28"/>
          <w:lang w:val="en"/>
        </w:rPr>
      </w:pPr>
    </w:p>
    <w:p w:rsidR="000D511B" w:rsidRDefault="000D511B" w:rsidP="00643049">
      <w:pPr>
        <w:spacing w:before="100" w:beforeAutospacing="1" w:after="100" w:afterAutospacing="1"/>
        <w:rPr>
          <w:rFonts w:asciiTheme="minorHAnsi" w:hAnsiTheme="minorHAnsi"/>
          <w:sz w:val="28"/>
          <w:szCs w:val="28"/>
          <w:lang w:val="en"/>
        </w:rPr>
      </w:pPr>
    </w:p>
    <w:p w:rsidR="000D511B" w:rsidRDefault="000D511B" w:rsidP="00643049">
      <w:pPr>
        <w:spacing w:before="100" w:beforeAutospacing="1" w:after="100" w:afterAutospacing="1"/>
        <w:rPr>
          <w:rFonts w:asciiTheme="minorHAnsi" w:hAnsiTheme="minorHAnsi"/>
          <w:sz w:val="28"/>
          <w:szCs w:val="28"/>
          <w:lang w:val="en"/>
        </w:rPr>
      </w:pPr>
    </w:p>
    <w:p w:rsidR="000D511B" w:rsidRDefault="000D511B" w:rsidP="00643049">
      <w:pPr>
        <w:spacing w:before="100" w:beforeAutospacing="1" w:after="100" w:afterAutospacing="1"/>
        <w:rPr>
          <w:rFonts w:asciiTheme="minorHAnsi" w:hAnsiTheme="minorHAnsi"/>
          <w:sz w:val="28"/>
          <w:szCs w:val="28"/>
          <w:lang w:val="en"/>
        </w:rPr>
      </w:pPr>
    </w:p>
    <w:p w:rsidR="000D511B" w:rsidRDefault="000D511B" w:rsidP="00643049">
      <w:pPr>
        <w:spacing w:before="100" w:beforeAutospacing="1" w:after="100" w:afterAutospacing="1"/>
        <w:rPr>
          <w:rFonts w:asciiTheme="minorHAnsi" w:hAnsiTheme="minorHAnsi"/>
          <w:sz w:val="28"/>
          <w:szCs w:val="28"/>
          <w:lang w:val="en"/>
        </w:rPr>
      </w:pPr>
    </w:p>
    <w:p w:rsidR="000D511B" w:rsidRPr="00BA5ED7" w:rsidRDefault="000D511B" w:rsidP="000D511B">
      <w:pPr>
        <w:rPr>
          <w:rFonts w:asciiTheme="minorHAnsi" w:hAnsiTheme="minorHAnsi"/>
          <w:b/>
          <w:sz w:val="28"/>
          <w:szCs w:val="28"/>
          <w:lang w:val="en"/>
        </w:rPr>
      </w:pPr>
      <w:r w:rsidRPr="00BA5ED7">
        <w:rPr>
          <w:rFonts w:asciiTheme="minorHAnsi" w:hAnsiTheme="minorHAnsi"/>
          <w:b/>
          <w:sz w:val="28"/>
          <w:szCs w:val="28"/>
          <w:lang w:val="en"/>
        </w:rPr>
        <w:t>Objective</w:t>
      </w:r>
    </w:p>
    <w:p w:rsidR="000D511B" w:rsidRDefault="000D511B" w:rsidP="000D511B">
      <w:pPr>
        <w:rPr>
          <w:rFonts w:asciiTheme="minorHAnsi" w:hAnsiTheme="minorHAnsi"/>
          <w:sz w:val="28"/>
          <w:szCs w:val="28"/>
          <w:lang w:val="en"/>
        </w:rPr>
      </w:pPr>
      <w:r w:rsidRPr="000D511B">
        <w:rPr>
          <w:rFonts w:asciiTheme="minorHAnsi" w:hAnsiTheme="minorHAnsi"/>
          <w:sz w:val="28"/>
          <w:szCs w:val="28"/>
          <w:lang w:val="en"/>
        </w:rPr>
        <w:t>“As teachers we all bring different gifts, and handicaps, to the table” (Brookfield, 2015, p. 102).</w:t>
      </w:r>
    </w:p>
    <w:p w:rsidR="000D511B" w:rsidRDefault="000D511B" w:rsidP="000D511B">
      <w:pPr>
        <w:rPr>
          <w:rFonts w:asciiTheme="minorHAnsi" w:hAnsiTheme="minorHAnsi"/>
          <w:sz w:val="28"/>
          <w:szCs w:val="28"/>
          <w:lang w:val="en"/>
        </w:rPr>
      </w:pPr>
    </w:p>
    <w:p w:rsidR="000D511B" w:rsidRPr="000D511B" w:rsidRDefault="000D511B" w:rsidP="000D511B">
      <w:pPr>
        <w:rPr>
          <w:rFonts w:asciiTheme="minorHAnsi" w:hAnsiTheme="minorHAnsi"/>
          <w:color w:val="000000"/>
          <w:sz w:val="28"/>
          <w:szCs w:val="28"/>
        </w:rPr>
      </w:pPr>
      <w:r w:rsidRPr="00BA5ED7">
        <w:rPr>
          <w:rFonts w:asciiTheme="minorHAnsi" w:hAnsiTheme="minorHAnsi"/>
          <w:b/>
          <w:sz w:val="28"/>
          <w:szCs w:val="28"/>
          <w:lang w:val="en"/>
        </w:rPr>
        <w:t>Reflective</w:t>
      </w:r>
      <w:r>
        <w:rPr>
          <w:rFonts w:asciiTheme="minorHAnsi" w:hAnsiTheme="minorHAnsi"/>
          <w:sz w:val="28"/>
          <w:szCs w:val="28"/>
          <w:lang w:val="en"/>
        </w:rPr>
        <w:t xml:space="preserve"> – Why I chose this</w:t>
      </w:r>
      <w:r w:rsidR="00BA5ED7">
        <w:rPr>
          <w:rFonts w:asciiTheme="minorHAnsi" w:hAnsiTheme="minorHAnsi"/>
          <w:sz w:val="28"/>
          <w:szCs w:val="28"/>
          <w:lang w:val="en"/>
        </w:rPr>
        <w:t xml:space="preserve"> </w:t>
      </w:r>
      <w:r>
        <w:rPr>
          <w:rFonts w:asciiTheme="minorHAnsi" w:hAnsiTheme="minorHAnsi"/>
          <w:sz w:val="28"/>
          <w:szCs w:val="28"/>
          <w:lang w:val="en"/>
        </w:rPr>
        <w:t>quote?</w:t>
      </w:r>
    </w:p>
    <w:p w:rsidR="000D511B" w:rsidRDefault="00BA5ED7" w:rsidP="00643049">
      <w:pPr>
        <w:spacing w:before="100" w:beforeAutospacing="1" w:after="100" w:afterAutospacing="1"/>
        <w:rPr>
          <w:rFonts w:asciiTheme="minorHAnsi" w:hAnsiTheme="minorHAnsi"/>
          <w:sz w:val="28"/>
          <w:szCs w:val="28"/>
          <w:lang w:val="en"/>
        </w:rPr>
      </w:pPr>
      <w:r>
        <w:rPr>
          <w:rFonts w:asciiTheme="minorHAnsi" w:hAnsiTheme="minorHAnsi"/>
          <w:sz w:val="28"/>
          <w:szCs w:val="28"/>
          <w:lang w:val="en"/>
        </w:rPr>
        <w:t>I</w:t>
      </w:r>
      <w:r w:rsidRPr="00BA5ED7">
        <w:rPr>
          <w:rFonts w:asciiTheme="minorHAnsi" w:hAnsiTheme="minorHAnsi"/>
          <w:sz w:val="28"/>
          <w:szCs w:val="28"/>
          <w:lang w:val="en"/>
        </w:rPr>
        <w:t xml:space="preserve"> </w:t>
      </w:r>
      <w:r w:rsidRPr="000D511B">
        <w:rPr>
          <w:rFonts w:asciiTheme="minorHAnsi" w:hAnsiTheme="minorHAnsi"/>
          <w:sz w:val="28"/>
          <w:szCs w:val="28"/>
          <w:lang w:val="en"/>
        </w:rPr>
        <w:t>chose this quote as I am interested in team teaching and how it can help improve students understanding of material</w:t>
      </w:r>
      <w:r>
        <w:rPr>
          <w:rFonts w:asciiTheme="minorHAnsi" w:hAnsiTheme="minorHAnsi"/>
          <w:sz w:val="28"/>
          <w:szCs w:val="28"/>
          <w:lang w:val="en"/>
        </w:rPr>
        <w:t xml:space="preserve"> that I may be knowledgeable of but not necessarily an expert</w:t>
      </w:r>
      <w:r w:rsidRPr="000D511B">
        <w:rPr>
          <w:rFonts w:asciiTheme="minorHAnsi" w:hAnsiTheme="minorHAnsi"/>
          <w:sz w:val="28"/>
          <w:szCs w:val="28"/>
          <w:lang w:val="en"/>
        </w:rPr>
        <w:t xml:space="preserve">. </w:t>
      </w:r>
      <w:r>
        <w:rPr>
          <w:rFonts w:asciiTheme="minorHAnsi" w:hAnsiTheme="minorHAnsi"/>
          <w:sz w:val="28"/>
          <w:szCs w:val="28"/>
          <w:lang w:val="en"/>
        </w:rPr>
        <w:t>T</w:t>
      </w:r>
      <w:r w:rsidR="00643049" w:rsidRPr="000D511B">
        <w:rPr>
          <w:rFonts w:asciiTheme="minorHAnsi" w:hAnsiTheme="minorHAnsi"/>
          <w:sz w:val="28"/>
          <w:szCs w:val="28"/>
          <w:lang w:val="en"/>
        </w:rPr>
        <w:t xml:space="preserve">his quote originates from Brookfield’s chapter on teaching successfully in diverse classrooms. He suggests that no matter how much effort an instructor makes on meeting the diverse needs of each learner, he or she will never be fully successful.  Brookfield proposes the idea of team teaching – where two or three instructors with “different racial identities, talents, and personalities form a teaching team” (Brookfield, 2015, p. 102).  Having a team of instructors teach a course will generate more opportunities for the varied learning needs of students to be met.  </w:t>
      </w:r>
      <w:r w:rsidR="000D511B" w:rsidRPr="000D511B">
        <w:rPr>
          <w:rFonts w:asciiTheme="minorHAnsi" w:hAnsiTheme="minorHAnsi"/>
          <w:sz w:val="28"/>
          <w:szCs w:val="28"/>
          <w:lang w:val="en"/>
        </w:rPr>
        <w:t xml:space="preserve">I have </w:t>
      </w:r>
      <w:r w:rsidR="000D511B">
        <w:rPr>
          <w:rFonts w:asciiTheme="minorHAnsi" w:hAnsiTheme="minorHAnsi"/>
          <w:sz w:val="28"/>
          <w:szCs w:val="28"/>
          <w:lang w:val="en"/>
        </w:rPr>
        <w:t>a course called Strategic Management where my colleague who is a financial expert came in to class to help my students with their financial ratios and accounting terms. Many of the students were HR students so it was particularly valuable to them and because it was 50% of the assessment helped them to successfully complete the course.</w:t>
      </w:r>
      <w:r>
        <w:rPr>
          <w:rFonts w:asciiTheme="minorHAnsi" w:hAnsiTheme="minorHAnsi"/>
          <w:sz w:val="28"/>
          <w:szCs w:val="28"/>
          <w:lang w:val="en"/>
        </w:rPr>
        <w:t xml:space="preserve"> It was good because it changed the tempo of the class and improved their attention and focus for a Learning Objective that was critical for their success. </w:t>
      </w:r>
    </w:p>
    <w:p w:rsidR="000D511B" w:rsidRDefault="000D511B" w:rsidP="00643049">
      <w:pPr>
        <w:spacing w:before="100" w:beforeAutospacing="1" w:after="100" w:afterAutospacing="1"/>
        <w:rPr>
          <w:rFonts w:asciiTheme="minorHAnsi" w:hAnsiTheme="minorHAnsi"/>
          <w:sz w:val="28"/>
          <w:szCs w:val="28"/>
          <w:lang w:val="en"/>
        </w:rPr>
      </w:pPr>
      <w:r w:rsidRPr="00BA5ED7">
        <w:rPr>
          <w:rFonts w:asciiTheme="minorHAnsi" w:hAnsiTheme="minorHAnsi"/>
          <w:b/>
          <w:sz w:val="28"/>
          <w:szCs w:val="28"/>
          <w:lang w:val="en"/>
        </w:rPr>
        <w:t>Interpretive</w:t>
      </w:r>
      <w:r>
        <w:rPr>
          <w:rFonts w:asciiTheme="minorHAnsi" w:hAnsiTheme="minorHAnsi"/>
          <w:sz w:val="28"/>
          <w:szCs w:val="28"/>
          <w:lang w:val="en"/>
        </w:rPr>
        <w:t xml:space="preserve"> – What does it mean to you? How was your thing changed by reflecting on the quote?</w:t>
      </w:r>
    </w:p>
    <w:p w:rsidR="00BA5ED7" w:rsidRPr="00BA5ED7" w:rsidRDefault="00BA5ED7" w:rsidP="00643049">
      <w:pPr>
        <w:spacing w:before="100" w:beforeAutospacing="1" w:after="100" w:afterAutospacing="1"/>
        <w:rPr>
          <w:rFonts w:asciiTheme="minorHAnsi" w:hAnsiTheme="minorHAnsi"/>
          <w:sz w:val="28"/>
          <w:szCs w:val="28"/>
          <w:lang w:val="en"/>
        </w:rPr>
      </w:pPr>
      <w:r>
        <w:rPr>
          <w:rFonts w:asciiTheme="minorHAnsi" w:hAnsiTheme="minorHAnsi"/>
          <w:sz w:val="28"/>
          <w:szCs w:val="28"/>
          <w:lang w:val="en"/>
        </w:rPr>
        <w:t xml:space="preserve">I think it is very true that we do bring different gifts and handicaps to the table when it comes to teaching as we all have different personalities and interests, </w:t>
      </w:r>
      <w:r w:rsidRPr="00BA5ED7">
        <w:rPr>
          <w:rFonts w:asciiTheme="minorHAnsi" w:hAnsiTheme="minorHAnsi"/>
          <w:sz w:val="28"/>
          <w:szCs w:val="28"/>
          <w:lang w:val="en"/>
        </w:rPr>
        <w:t>styles of delivery, energy, enthusiasm etc.</w:t>
      </w:r>
    </w:p>
    <w:p w:rsidR="000D511B" w:rsidRPr="00BA5ED7" w:rsidRDefault="00BA5ED7" w:rsidP="00643049">
      <w:pPr>
        <w:spacing w:before="100" w:beforeAutospacing="1" w:after="100" w:afterAutospacing="1"/>
        <w:rPr>
          <w:rFonts w:asciiTheme="minorHAnsi" w:hAnsiTheme="minorHAnsi"/>
          <w:sz w:val="28"/>
          <w:szCs w:val="28"/>
          <w:lang w:val="en"/>
        </w:rPr>
      </w:pPr>
      <w:r w:rsidRPr="00BA5ED7">
        <w:rPr>
          <w:rFonts w:asciiTheme="minorHAnsi" w:hAnsiTheme="minorHAnsi"/>
          <w:sz w:val="28"/>
          <w:szCs w:val="28"/>
          <w:lang w:val="en"/>
        </w:rPr>
        <w:t>I read that o</w:t>
      </w:r>
      <w:r w:rsidRPr="00BA5ED7">
        <w:rPr>
          <w:rFonts w:asciiTheme="minorHAnsi" w:hAnsiTheme="minorHAnsi"/>
          <w:sz w:val="28"/>
          <w:szCs w:val="28"/>
          <w:lang w:val="en"/>
        </w:rPr>
        <w:t>ne instructor who wrote an article on her experience with team teaching stated, “we magnified each other’s successes and minimized each other’s failures” (Tomlinson, 2015, p.</w:t>
      </w:r>
      <w:r w:rsidRPr="00BA5ED7">
        <w:rPr>
          <w:rFonts w:asciiTheme="minorHAnsi" w:hAnsiTheme="minorHAnsi"/>
          <w:sz w:val="28"/>
          <w:szCs w:val="28"/>
          <w:lang w:val="en"/>
        </w:rPr>
        <w:t>90)</w:t>
      </w:r>
    </w:p>
    <w:p w:rsidR="00643049" w:rsidRPr="00643049" w:rsidRDefault="0001207F" w:rsidP="0001207F">
      <w:pPr>
        <w:spacing w:before="100" w:beforeAutospacing="1" w:after="100" w:afterAutospacing="1"/>
        <w:jc w:val="center"/>
        <w:rPr>
          <w:highlight w:val="yellow"/>
          <w:lang w:val="en"/>
        </w:rPr>
      </w:pPr>
      <w:r>
        <w:rPr>
          <w:rFonts w:ascii="Arial" w:hAnsi="Arial" w:cs="Arial"/>
          <w:noProof/>
          <w:sz w:val="20"/>
          <w:szCs w:val="20"/>
        </w:rPr>
        <w:lastRenderedPageBreak/>
        <w:drawing>
          <wp:inline distT="0" distB="0" distL="0" distR="0" wp14:anchorId="213BFD2F" wp14:editId="086FFDED">
            <wp:extent cx="2838450" cy="3838575"/>
            <wp:effectExtent l="0" t="0" r="0" b="9525"/>
            <wp:docPr id="1" name="Picture 1" descr="Image result for team teaching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eam teaching carto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8450" cy="3838575"/>
                    </a:xfrm>
                    <a:prstGeom prst="rect">
                      <a:avLst/>
                    </a:prstGeom>
                    <a:noFill/>
                    <a:ln>
                      <a:noFill/>
                    </a:ln>
                  </pic:spPr>
                </pic:pic>
              </a:graphicData>
            </a:graphic>
          </wp:inline>
        </w:drawing>
      </w:r>
    </w:p>
    <w:p w:rsidR="0001207F" w:rsidRDefault="0001207F" w:rsidP="0001207F">
      <w:pPr>
        <w:shd w:val="clear" w:color="auto" w:fill="FFFFFF"/>
        <w:spacing w:before="100" w:beforeAutospacing="1" w:after="100" w:afterAutospacing="1"/>
        <w:rPr>
          <w:rFonts w:asciiTheme="minorHAnsi" w:hAnsiTheme="minorHAnsi"/>
          <w:color w:val="000000"/>
          <w:sz w:val="28"/>
          <w:szCs w:val="28"/>
          <w:lang w:val="en"/>
        </w:rPr>
      </w:pPr>
      <w:r>
        <w:rPr>
          <w:rFonts w:asciiTheme="minorHAnsi" w:hAnsiTheme="minorHAnsi"/>
          <w:color w:val="000000"/>
          <w:sz w:val="28"/>
          <w:szCs w:val="28"/>
          <w:lang w:val="en"/>
        </w:rPr>
        <w:t xml:space="preserve">Some interesting articles are available on this subject – </w:t>
      </w:r>
    </w:p>
    <w:p w:rsidR="0001207F" w:rsidRPr="0001207F" w:rsidRDefault="0001207F" w:rsidP="0001207F">
      <w:pPr>
        <w:shd w:val="clear" w:color="auto" w:fill="FFFFFF"/>
        <w:spacing w:before="100" w:beforeAutospacing="1" w:after="100" w:afterAutospacing="1"/>
        <w:ind w:left="720"/>
        <w:rPr>
          <w:rFonts w:asciiTheme="minorHAnsi" w:hAnsiTheme="minorHAnsi"/>
          <w:color w:val="000000"/>
          <w:sz w:val="28"/>
          <w:szCs w:val="28"/>
          <w:lang w:val="en"/>
        </w:rPr>
      </w:pPr>
      <w:r>
        <w:rPr>
          <w:rFonts w:asciiTheme="minorHAnsi" w:hAnsiTheme="minorHAnsi"/>
          <w:color w:val="000000"/>
          <w:sz w:val="28"/>
          <w:szCs w:val="28"/>
          <w:lang w:val="en"/>
        </w:rPr>
        <w:t>“</w:t>
      </w:r>
      <w:r w:rsidRPr="0001207F">
        <w:rPr>
          <w:rFonts w:asciiTheme="minorHAnsi" w:hAnsiTheme="minorHAnsi"/>
          <w:color w:val="000000"/>
          <w:sz w:val="28"/>
          <w:szCs w:val="28"/>
          <w:lang w:val="en"/>
        </w:rPr>
        <w:t>Team teaching involves a group of instructors working purposefully, regularly, and cooperatively to help a group of students of any age learn. Teachers together set goals for a course, design a syllabus, prepare individual lesson plans, teach students, and evaluate the results. They share insights, argue with one another, and perhaps even challenge students to decide which approach is better.</w:t>
      </w:r>
    </w:p>
    <w:p w:rsidR="0001207F" w:rsidRPr="0001207F" w:rsidRDefault="0001207F" w:rsidP="0001207F">
      <w:pPr>
        <w:shd w:val="clear" w:color="auto" w:fill="FFFFFF"/>
        <w:spacing w:before="100" w:beforeAutospacing="1" w:after="100" w:afterAutospacing="1"/>
        <w:ind w:left="720"/>
        <w:rPr>
          <w:rFonts w:asciiTheme="minorHAnsi" w:hAnsiTheme="minorHAnsi"/>
          <w:color w:val="000000"/>
          <w:sz w:val="28"/>
          <w:szCs w:val="28"/>
          <w:lang w:val="en"/>
        </w:rPr>
      </w:pPr>
      <w:r w:rsidRPr="0001207F">
        <w:rPr>
          <w:rFonts w:asciiTheme="minorHAnsi" w:hAnsiTheme="minorHAnsi"/>
          <w:color w:val="000000"/>
          <w:sz w:val="28"/>
          <w:szCs w:val="28"/>
          <w:lang w:val="en"/>
        </w:rPr>
        <w:t>Teams can be single-discipline, interdisciplinary, or school-within-a-school teams that meet with a common set of students over an extended period of time. New teachers may be paired with veteran teachers. Innovations are encouraged, and modifications in class size, location, and time are permitted. Different personalities, voices, values, and approaches spark interest, keep attention, and prevent boredom.</w:t>
      </w:r>
    </w:p>
    <w:p w:rsidR="0001207F" w:rsidRPr="0001207F" w:rsidRDefault="0001207F" w:rsidP="0001207F">
      <w:pPr>
        <w:shd w:val="clear" w:color="auto" w:fill="FFFFFF"/>
        <w:spacing w:before="100" w:beforeAutospacing="1" w:after="100" w:afterAutospacing="1"/>
        <w:ind w:left="720"/>
        <w:rPr>
          <w:rFonts w:asciiTheme="minorHAnsi" w:hAnsiTheme="minorHAnsi"/>
          <w:color w:val="000000"/>
          <w:sz w:val="28"/>
          <w:szCs w:val="28"/>
          <w:lang w:val="en"/>
        </w:rPr>
      </w:pPr>
      <w:r w:rsidRPr="0001207F">
        <w:rPr>
          <w:rFonts w:asciiTheme="minorHAnsi" w:hAnsiTheme="minorHAnsi"/>
          <w:color w:val="000000"/>
          <w:sz w:val="28"/>
          <w:szCs w:val="28"/>
          <w:lang w:val="en"/>
        </w:rPr>
        <w:t xml:space="preserve">The team-teaching approach allows for more interaction between teachers and students. Faculty evaluate students on their achievement of the learning goals; students evaluate faculty members on their teaching </w:t>
      </w:r>
      <w:r w:rsidRPr="0001207F">
        <w:rPr>
          <w:rFonts w:asciiTheme="minorHAnsi" w:hAnsiTheme="minorHAnsi"/>
          <w:color w:val="000000"/>
          <w:sz w:val="28"/>
          <w:szCs w:val="28"/>
          <w:lang w:val="en"/>
        </w:rPr>
        <w:lastRenderedPageBreak/>
        <w:t>proficiency. Emphasis is on student and faculty growth, balancing initiative and shared responsibility, specialization and broadening horizons, the clear and interesting presentation of content and student development, democratic participation and common expectations, and cognitive, affective, and behavioral outcomes. This combination of analysis, synthesis, critical thinking, and practical applications can be done on all levels of education, from kindergarten through graduate school.</w:t>
      </w:r>
    </w:p>
    <w:p w:rsidR="0001207F" w:rsidRPr="0001207F" w:rsidRDefault="0001207F" w:rsidP="0001207F">
      <w:pPr>
        <w:shd w:val="clear" w:color="auto" w:fill="FFFFFF"/>
        <w:spacing w:before="100" w:beforeAutospacing="1" w:after="100" w:afterAutospacing="1"/>
        <w:ind w:left="720"/>
        <w:rPr>
          <w:rFonts w:asciiTheme="minorHAnsi" w:hAnsiTheme="minorHAnsi"/>
          <w:color w:val="000000"/>
          <w:sz w:val="28"/>
          <w:szCs w:val="28"/>
          <w:lang w:val="en"/>
        </w:rPr>
      </w:pPr>
      <w:r w:rsidRPr="0001207F">
        <w:rPr>
          <w:rFonts w:asciiTheme="minorHAnsi" w:hAnsiTheme="minorHAnsi"/>
          <w:color w:val="000000"/>
          <w:sz w:val="28"/>
          <w:szCs w:val="28"/>
          <w:lang w:val="en"/>
        </w:rPr>
        <w:t>Working as a team, teachers model respect for differences, interdependence, and conflict-resolution skills. Team members together set the course goals and content, select common materials such as texts and films, and develop tests and final examinations for all students. They set the sequence of topics and supplemental materials. They also give their own interpretations of the materials and use their own teaching styles. The greater the agreement on common objectives and interests, the more likely that teaching will be interdependent and coordinated.</w:t>
      </w:r>
      <w:r>
        <w:rPr>
          <w:rFonts w:asciiTheme="minorHAnsi" w:hAnsiTheme="minorHAnsi"/>
          <w:color w:val="000000"/>
          <w:sz w:val="28"/>
          <w:szCs w:val="28"/>
          <w:lang w:val="en"/>
        </w:rPr>
        <w:t xml:space="preserve">” </w:t>
      </w:r>
      <w:r w:rsidRPr="0001207F">
        <w:rPr>
          <w:rFonts w:asciiTheme="minorHAnsi" w:hAnsiTheme="minorHAnsi"/>
          <w:b/>
          <w:color w:val="000000"/>
          <w:sz w:val="28"/>
          <w:szCs w:val="28"/>
          <w:lang w:val="en"/>
        </w:rPr>
        <w:t>4</w:t>
      </w:r>
      <w:r>
        <w:rPr>
          <w:rFonts w:asciiTheme="minorHAnsi" w:hAnsiTheme="minorHAnsi"/>
          <w:color w:val="000000"/>
          <w:sz w:val="28"/>
          <w:szCs w:val="28"/>
          <w:lang w:val="en"/>
        </w:rPr>
        <w:t>.</w:t>
      </w:r>
    </w:p>
    <w:p w:rsidR="000E130A" w:rsidRPr="000E130A" w:rsidRDefault="000E130A" w:rsidP="000E130A">
      <w:pPr>
        <w:spacing w:before="100" w:beforeAutospacing="1" w:after="100" w:afterAutospacing="1"/>
        <w:rPr>
          <w:rFonts w:asciiTheme="minorHAnsi" w:hAnsiTheme="minorHAnsi"/>
          <w:b/>
          <w:bCs/>
          <w:color w:val="000000" w:themeColor="text1"/>
          <w:sz w:val="28"/>
          <w:szCs w:val="28"/>
        </w:rPr>
      </w:pPr>
      <w:r w:rsidRPr="000E130A">
        <w:rPr>
          <w:rFonts w:asciiTheme="minorHAnsi" w:hAnsiTheme="minorHAnsi"/>
          <w:b/>
          <w:bCs/>
          <w:color w:val="000000" w:themeColor="text1"/>
          <w:sz w:val="28"/>
          <w:szCs w:val="28"/>
        </w:rPr>
        <w:t xml:space="preserve">Team Teaching as noted the researchers at Vanderbilt noted – </w:t>
      </w:r>
    </w:p>
    <w:p w:rsidR="000E130A" w:rsidRPr="000E130A" w:rsidRDefault="000E130A" w:rsidP="000E130A">
      <w:pPr>
        <w:spacing w:before="100" w:beforeAutospacing="1" w:after="100" w:afterAutospacing="1"/>
        <w:rPr>
          <w:rFonts w:asciiTheme="minorHAnsi" w:hAnsiTheme="minorHAnsi"/>
          <w:color w:val="000000" w:themeColor="text1"/>
          <w:sz w:val="28"/>
          <w:szCs w:val="28"/>
        </w:rPr>
      </w:pPr>
      <w:r w:rsidRPr="000E130A">
        <w:rPr>
          <w:rFonts w:asciiTheme="minorHAnsi" w:hAnsiTheme="minorHAnsi"/>
          <w:b/>
          <w:bCs/>
          <w:color w:val="000000" w:themeColor="text1"/>
          <w:sz w:val="28"/>
          <w:szCs w:val="28"/>
        </w:rPr>
        <w:t>Advantages</w:t>
      </w:r>
      <w:r w:rsidRPr="000E130A">
        <w:rPr>
          <w:rFonts w:asciiTheme="minorHAnsi" w:hAnsiTheme="minorHAnsi"/>
          <w:color w:val="000000" w:themeColor="text1"/>
          <w:sz w:val="28"/>
          <w:szCs w:val="28"/>
        </w:rPr>
        <w:t xml:space="preserve"> of this model include potential deep student learning because of exposure to the connections across the disciplines of the instructors, the ambiguity of different disciplinary views, and the broad support that a heterogeneous teaching team can provide during the entire course.</w:t>
      </w:r>
    </w:p>
    <w:p w:rsidR="000E130A" w:rsidRPr="000E130A" w:rsidRDefault="000E130A" w:rsidP="000E130A">
      <w:pPr>
        <w:spacing w:before="100" w:beforeAutospacing="1" w:after="100" w:afterAutospacing="1"/>
        <w:rPr>
          <w:rFonts w:asciiTheme="minorHAnsi" w:hAnsiTheme="minorHAnsi"/>
          <w:color w:val="000000" w:themeColor="text1"/>
          <w:sz w:val="28"/>
          <w:szCs w:val="28"/>
        </w:rPr>
      </w:pPr>
      <w:r w:rsidRPr="000E130A">
        <w:rPr>
          <w:rFonts w:asciiTheme="minorHAnsi" w:hAnsiTheme="minorHAnsi"/>
          <w:b/>
          <w:bCs/>
          <w:color w:val="000000" w:themeColor="text1"/>
          <w:sz w:val="28"/>
          <w:szCs w:val="28"/>
        </w:rPr>
        <w:t>Challenges</w:t>
      </w:r>
      <w:r w:rsidRPr="000E130A">
        <w:rPr>
          <w:rFonts w:asciiTheme="minorHAnsi" w:hAnsiTheme="minorHAnsi"/>
          <w:color w:val="000000" w:themeColor="text1"/>
          <w:sz w:val="28"/>
          <w:szCs w:val="28"/>
        </w:rPr>
        <w:t xml:space="preserve"> include the misfortunes that could occur if the team is not well organized and connected. One challenge is determining the amount of credit each of the team members receives for teaching the course. Sometimes an instructor receives only a fraction of the credit that he or she would receive for teaching a course solo, while in reality team teaching usually requires each instructor to engage more work than when being the only instructor.</w:t>
      </w:r>
      <w:r w:rsidRPr="000E130A">
        <w:rPr>
          <w:rFonts w:asciiTheme="minorHAnsi" w:hAnsiTheme="minorHAnsi"/>
          <w:color w:val="000000" w:themeColor="text1"/>
          <w:sz w:val="28"/>
          <w:szCs w:val="28"/>
        </w:rPr>
        <w:t xml:space="preserve"> </w:t>
      </w:r>
      <w:r w:rsidRPr="000E130A">
        <w:rPr>
          <w:rFonts w:asciiTheme="minorHAnsi" w:hAnsiTheme="minorHAnsi"/>
          <w:b/>
          <w:color w:val="000000" w:themeColor="text1"/>
          <w:sz w:val="28"/>
          <w:szCs w:val="28"/>
        </w:rPr>
        <w:t>3</w:t>
      </w:r>
      <w:r w:rsidRPr="000E130A">
        <w:rPr>
          <w:rFonts w:asciiTheme="minorHAnsi" w:hAnsiTheme="minorHAnsi"/>
          <w:color w:val="000000" w:themeColor="text1"/>
          <w:sz w:val="28"/>
          <w:szCs w:val="28"/>
        </w:rPr>
        <w:t>.</w:t>
      </w:r>
    </w:p>
    <w:p w:rsidR="000D511B" w:rsidRPr="00174CD6" w:rsidRDefault="000D511B" w:rsidP="00643049">
      <w:pPr>
        <w:spacing w:before="100" w:beforeAutospacing="1" w:after="100" w:afterAutospacing="1"/>
        <w:rPr>
          <w:rFonts w:asciiTheme="minorHAnsi" w:hAnsiTheme="minorHAnsi"/>
          <w:b/>
          <w:sz w:val="28"/>
          <w:szCs w:val="28"/>
          <w:lang w:val="en"/>
        </w:rPr>
      </w:pPr>
      <w:r w:rsidRPr="00174CD6">
        <w:rPr>
          <w:rFonts w:asciiTheme="minorHAnsi" w:hAnsiTheme="minorHAnsi"/>
          <w:b/>
          <w:sz w:val="28"/>
          <w:szCs w:val="28"/>
          <w:lang w:val="en"/>
        </w:rPr>
        <w:t xml:space="preserve">Decisional </w:t>
      </w:r>
      <w:r w:rsidR="00BA5ED7" w:rsidRPr="00174CD6">
        <w:rPr>
          <w:rFonts w:asciiTheme="minorHAnsi" w:hAnsiTheme="minorHAnsi"/>
          <w:b/>
          <w:sz w:val="28"/>
          <w:szCs w:val="28"/>
          <w:lang w:val="en"/>
        </w:rPr>
        <w:t>– How can this new or enhanced interpretation be applied to your professional practice?</w:t>
      </w:r>
    </w:p>
    <w:p w:rsidR="000E130A" w:rsidRPr="000E130A" w:rsidRDefault="000E130A" w:rsidP="00643049">
      <w:pPr>
        <w:spacing w:before="100" w:beforeAutospacing="1" w:after="100" w:afterAutospacing="1"/>
        <w:rPr>
          <w:rFonts w:asciiTheme="minorHAnsi" w:hAnsiTheme="minorHAnsi"/>
          <w:sz w:val="28"/>
          <w:szCs w:val="28"/>
          <w:lang w:val="en"/>
        </w:rPr>
      </w:pPr>
      <w:r w:rsidRPr="000E130A">
        <w:rPr>
          <w:rFonts w:asciiTheme="minorHAnsi" w:hAnsiTheme="minorHAnsi"/>
          <w:sz w:val="28"/>
          <w:szCs w:val="28"/>
          <w:lang w:val="en"/>
        </w:rPr>
        <w:t>I must say that this is an idea to explore in future courses where trusted and enthusiastic colleagues can help with the material delivery. This is most appropriate at the higher level courses.</w:t>
      </w:r>
    </w:p>
    <w:p w:rsidR="000D511B" w:rsidRPr="000D511B" w:rsidRDefault="000E130A" w:rsidP="000D511B">
      <w:pPr>
        <w:spacing w:before="100" w:beforeAutospacing="1" w:after="100" w:afterAutospacing="1"/>
        <w:outlineLvl w:val="3"/>
        <w:rPr>
          <w:rFonts w:asciiTheme="minorHAnsi" w:hAnsiTheme="minorHAnsi"/>
          <w:bCs/>
          <w:sz w:val="28"/>
          <w:szCs w:val="28"/>
        </w:rPr>
      </w:pPr>
      <w:r>
        <w:rPr>
          <w:rFonts w:asciiTheme="minorHAnsi" w:hAnsiTheme="minorHAnsi"/>
          <w:bCs/>
          <w:sz w:val="28"/>
          <w:szCs w:val="28"/>
        </w:rPr>
        <w:lastRenderedPageBreak/>
        <w:t xml:space="preserve">Other things to note as per the Vanderbilt researchers note - </w:t>
      </w:r>
      <w:r w:rsidR="000D511B" w:rsidRPr="000D511B">
        <w:rPr>
          <w:rFonts w:asciiTheme="minorHAnsi" w:hAnsiTheme="minorHAnsi"/>
          <w:bCs/>
          <w:sz w:val="28"/>
          <w:szCs w:val="28"/>
        </w:rPr>
        <w:t xml:space="preserve">As a part of course design, </w:t>
      </w:r>
      <w:r>
        <w:rPr>
          <w:rFonts w:asciiTheme="minorHAnsi" w:hAnsiTheme="minorHAnsi"/>
          <w:bCs/>
          <w:sz w:val="28"/>
          <w:szCs w:val="28"/>
        </w:rPr>
        <w:t>team teachers</w:t>
      </w:r>
      <w:r w:rsidR="000D511B" w:rsidRPr="000D511B">
        <w:rPr>
          <w:rFonts w:asciiTheme="minorHAnsi" w:hAnsiTheme="minorHAnsi"/>
          <w:bCs/>
          <w:sz w:val="28"/>
          <w:szCs w:val="28"/>
        </w:rPr>
        <w:t xml:space="preserve"> should consider the following questions:</w:t>
      </w:r>
    </w:p>
    <w:p w:rsidR="000D511B" w:rsidRPr="00CE3C31" w:rsidRDefault="000D511B" w:rsidP="00CE3C31">
      <w:pPr>
        <w:pStyle w:val="ListParagraph"/>
        <w:numPr>
          <w:ilvl w:val="0"/>
          <w:numId w:val="11"/>
        </w:numPr>
        <w:spacing w:before="100" w:beforeAutospacing="1" w:after="100" w:afterAutospacing="1"/>
        <w:rPr>
          <w:rFonts w:asciiTheme="minorHAnsi" w:hAnsiTheme="minorHAnsi"/>
          <w:sz w:val="28"/>
          <w:szCs w:val="28"/>
        </w:rPr>
      </w:pPr>
      <w:r w:rsidRPr="00CE3C31">
        <w:rPr>
          <w:rFonts w:asciiTheme="minorHAnsi" w:hAnsiTheme="minorHAnsi"/>
          <w:sz w:val="28"/>
          <w:szCs w:val="28"/>
        </w:rPr>
        <w:t>What responsibilities will be shared by the instructors?</w:t>
      </w:r>
    </w:p>
    <w:p w:rsidR="000D511B" w:rsidRPr="00CE3C31" w:rsidRDefault="000D511B" w:rsidP="00CE3C31">
      <w:pPr>
        <w:pStyle w:val="ListParagraph"/>
        <w:numPr>
          <w:ilvl w:val="0"/>
          <w:numId w:val="11"/>
        </w:numPr>
        <w:spacing w:before="100" w:beforeAutospacing="1" w:after="100" w:afterAutospacing="1"/>
        <w:rPr>
          <w:rFonts w:asciiTheme="minorHAnsi" w:hAnsiTheme="minorHAnsi"/>
          <w:sz w:val="28"/>
          <w:szCs w:val="28"/>
        </w:rPr>
      </w:pPr>
      <w:r w:rsidRPr="00CE3C31">
        <w:rPr>
          <w:rFonts w:asciiTheme="minorHAnsi" w:hAnsiTheme="minorHAnsi"/>
          <w:sz w:val="28"/>
          <w:szCs w:val="28"/>
        </w:rPr>
        <w:t>What responsibilities will be divided generally (across the semester) or specifically (on particular days)?</w:t>
      </w:r>
    </w:p>
    <w:p w:rsidR="000D511B" w:rsidRPr="00CE3C31" w:rsidRDefault="000D511B" w:rsidP="00CE3C31">
      <w:pPr>
        <w:pStyle w:val="ListParagraph"/>
        <w:numPr>
          <w:ilvl w:val="0"/>
          <w:numId w:val="11"/>
        </w:numPr>
        <w:spacing w:before="100" w:beforeAutospacing="1" w:after="100" w:afterAutospacing="1"/>
        <w:rPr>
          <w:rFonts w:asciiTheme="minorHAnsi" w:hAnsiTheme="minorHAnsi"/>
          <w:sz w:val="28"/>
          <w:szCs w:val="28"/>
        </w:rPr>
      </w:pPr>
      <w:r w:rsidRPr="00CE3C31">
        <w:rPr>
          <w:rFonts w:asciiTheme="minorHAnsi" w:hAnsiTheme="minorHAnsi"/>
          <w:sz w:val="28"/>
          <w:szCs w:val="28"/>
        </w:rPr>
        <w:t>What are the responsibilities of the instructor “in charge” of a particular event or assignment?</w:t>
      </w:r>
    </w:p>
    <w:p w:rsidR="000D511B" w:rsidRPr="00CE3C31" w:rsidRDefault="000D511B" w:rsidP="00CE3C31">
      <w:pPr>
        <w:pStyle w:val="ListParagraph"/>
        <w:numPr>
          <w:ilvl w:val="0"/>
          <w:numId w:val="11"/>
        </w:numPr>
        <w:spacing w:before="100" w:beforeAutospacing="1" w:after="100" w:afterAutospacing="1"/>
        <w:rPr>
          <w:rFonts w:asciiTheme="minorHAnsi" w:hAnsiTheme="minorHAnsi"/>
          <w:sz w:val="28"/>
          <w:szCs w:val="28"/>
        </w:rPr>
      </w:pPr>
      <w:r w:rsidRPr="00CE3C31">
        <w:rPr>
          <w:rFonts w:asciiTheme="minorHAnsi" w:hAnsiTheme="minorHAnsi"/>
          <w:sz w:val="28"/>
          <w:szCs w:val="28"/>
        </w:rPr>
        <w:t>How can the other instructor(s) facilitate student learning by assisting the instructor with the primary responsibility for a given event or assignment?</w:t>
      </w:r>
    </w:p>
    <w:p w:rsidR="000D511B" w:rsidRPr="00CE3C31" w:rsidRDefault="000D511B" w:rsidP="00CE3C31">
      <w:pPr>
        <w:pStyle w:val="ListParagraph"/>
        <w:numPr>
          <w:ilvl w:val="0"/>
          <w:numId w:val="11"/>
        </w:numPr>
        <w:spacing w:before="100" w:beforeAutospacing="1" w:after="100" w:afterAutospacing="1"/>
        <w:rPr>
          <w:rFonts w:asciiTheme="minorHAnsi" w:hAnsiTheme="minorHAnsi"/>
          <w:sz w:val="28"/>
          <w:szCs w:val="28"/>
        </w:rPr>
      </w:pPr>
      <w:r w:rsidRPr="00CE3C31">
        <w:rPr>
          <w:rFonts w:asciiTheme="minorHAnsi" w:hAnsiTheme="minorHAnsi"/>
          <w:sz w:val="28"/>
          <w:szCs w:val="28"/>
        </w:rPr>
        <w:t>How will instructors handle disagreements about content or procedure without undermining one another or compromising student learning?</w:t>
      </w:r>
    </w:p>
    <w:p w:rsidR="000D511B" w:rsidRPr="00CE3C31" w:rsidRDefault="000D511B" w:rsidP="00CE3C31">
      <w:pPr>
        <w:pStyle w:val="ListParagraph"/>
        <w:numPr>
          <w:ilvl w:val="0"/>
          <w:numId w:val="11"/>
        </w:numPr>
        <w:spacing w:before="100" w:beforeAutospacing="1" w:after="100" w:afterAutospacing="1"/>
        <w:rPr>
          <w:rFonts w:asciiTheme="minorHAnsi" w:hAnsiTheme="minorHAnsi"/>
          <w:sz w:val="28"/>
          <w:szCs w:val="28"/>
        </w:rPr>
      </w:pPr>
      <w:r w:rsidRPr="00CE3C31">
        <w:rPr>
          <w:rFonts w:asciiTheme="minorHAnsi" w:hAnsiTheme="minorHAnsi"/>
          <w:sz w:val="28"/>
          <w:szCs w:val="28"/>
        </w:rPr>
        <w:t>How and when will instructors meet to discuss the course or linked courses and consider changes to content or procedures throughout the semester?</w:t>
      </w:r>
      <w:r w:rsidR="000E130A" w:rsidRPr="00CE3C31">
        <w:rPr>
          <w:rFonts w:asciiTheme="minorHAnsi" w:hAnsiTheme="minorHAnsi"/>
          <w:sz w:val="28"/>
          <w:szCs w:val="28"/>
        </w:rPr>
        <w:t xml:space="preserve"> </w:t>
      </w:r>
      <w:r w:rsidR="000E130A" w:rsidRPr="00CE3C31">
        <w:rPr>
          <w:rFonts w:asciiTheme="minorHAnsi" w:hAnsiTheme="minorHAnsi"/>
          <w:b/>
          <w:sz w:val="28"/>
          <w:szCs w:val="28"/>
        </w:rPr>
        <w:t>3</w:t>
      </w:r>
      <w:r w:rsidR="000E130A" w:rsidRPr="00CE3C31">
        <w:rPr>
          <w:rFonts w:asciiTheme="minorHAnsi" w:hAnsiTheme="minorHAnsi"/>
          <w:sz w:val="28"/>
          <w:szCs w:val="28"/>
        </w:rPr>
        <w:t>.</w:t>
      </w:r>
    </w:p>
    <w:p w:rsidR="000D511B" w:rsidRPr="000E130A" w:rsidRDefault="00913826" w:rsidP="00643049">
      <w:pPr>
        <w:spacing w:before="100" w:beforeAutospacing="1" w:after="100" w:afterAutospacing="1"/>
        <w:rPr>
          <w:rFonts w:asciiTheme="minorHAnsi" w:hAnsiTheme="minorHAnsi"/>
          <w:sz w:val="28"/>
          <w:szCs w:val="28"/>
          <w:highlight w:val="yellow"/>
          <w:lang w:val="en"/>
        </w:rPr>
      </w:pPr>
      <w:r>
        <w:rPr>
          <w:rFonts w:asciiTheme="minorHAnsi" w:hAnsiTheme="minorHAnsi"/>
          <w:sz w:val="28"/>
          <w:szCs w:val="28"/>
        </w:rPr>
        <w:t>“</w:t>
      </w:r>
      <w:r w:rsidR="000E130A" w:rsidRPr="000E130A">
        <w:rPr>
          <w:rFonts w:asciiTheme="minorHAnsi" w:hAnsiTheme="minorHAnsi"/>
          <w:sz w:val="28"/>
          <w:szCs w:val="28"/>
        </w:rPr>
        <w:t>Team teaching also cultivates collaboration between teachers and students.  In the article</w:t>
      </w:r>
      <w:hyperlink r:id="rId9" w:tgtFrame="_blank" w:history="1">
        <w:r w:rsidR="000E130A" w:rsidRPr="000E130A">
          <w:rPr>
            <w:rFonts w:asciiTheme="minorHAnsi" w:hAnsiTheme="minorHAnsi"/>
            <w:i/>
            <w:iCs/>
            <w:color w:val="0000FF"/>
            <w:sz w:val="28"/>
            <w:szCs w:val="28"/>
            <w:u w:val="single"/>
          </w:rPr>
          <w:t xml:space="preserve"> Team Teaching: The Learning Side of the Teaching – Learning Equation</w:t>
        </w:r>
      </w:hyperlink>
      <w:r w:rsidR="000E130A" w:rsidRPr="000E130A">
        <w:rPr>
          <w:rFonts w:asciiTheme="minorHAnsi" w:hAnsiTheme="minorHAnsi"/>
          <w:sz w:val="28"/>
          <w:szCs w:val="28"/>
        </w:rPr>
        <w:t>, Eison and Tidwell (2003) advocate sharing power with students and including them in some of the decision-making about their own learning. We believe this facilitates critical thinking and students’ ability to see themselves as constructors of knowledge</w:t>
      </w:r>
      <w:r>
        <w:rPr>
          <w:rFonts w:asciiTheme="minorHAnsi" w:hAnsiTheme="minorHAnsi"/>
          <w:sz w:val="28"/>
          <w:szCs w:val="28"/>
        </w:rPr>
        <w:t>”</w:t>
      </w:r>
      <w:r w:rsidR="000E130A" w:rsidRPr="000E130A">
        <w:rPr>
          <w:rFonts w:asciiTheme="minorHAnsi" w:hAnsiTheme="minorHAnsi"/>
          <w:sz w:val="28"/>
          <w:szCs w:val="28"/>
        </w:rPr>
        <w:t>.</w:t>
      </w:r>
      <w:r w:rsidR="000E130A" w:rsidRPr="000E130A">
        <w:rPr>
          <w:rFonts w:asciiTheme="minorHAnsi" w:hAnsiTheme="minorHAnsi"/>
          <w:sz w:val="28"/>
          <w:szCs w:val="28"/>
        </w:rPr>
        <w:t xml:space="preserve"> </w:t>
      </w:r>
      <w:r w:rsidR="000E130A" w:rsidRPr="000E130A">
        <w:rPr>
          <w:rFonts w:asciiTheme="minorHAnsi" w:hAnsiTheme="minorHAnsi"/>
          <w:b/>
          <w:sz w:val="28"/>
          <w:szCs w:val="28"/>
        </w:rPr>
        <w:t>3</w:t>
      </w:r>
      <w:r w:rsidR="000E130A" w:rsidRPr="000E130A">
        <w:rPr>
          <w:rFonts w:asciiTheme="minorHAnsi" w:hAnsiTheme="minorHAnsi"/>
          <w:sz w:val="28"/>
          <w:szCs w:val="28"/>
        </w:rPr>
        <w:t>.</w:t>
      </w:r>
      <w:bookmarkStart w:id="0" w:name="_GoBack"/>
      <w:bookmarkEnd w:id="0"/>
    </w:p>
    <w:p w:rsidR="0001207F" w:rsidRPr="0001207F" w:rsidRDefault="0001207F" w:rsidP="006C280D">
      <w:pPr>
        <w:rPr>
          <w:rFonts w:asciiTheme="minorHAnsi" w:hAnsiTheme="minorHAnsi"/>
          <w:color w:val="000000"/>
          <w:sz w:val="28"/>
          <w:szCs w:val="28"/>
        </w:rPr>
      </w:pPr>
      <w:r w:rsidRPr="0001207F">
        <w:rPr>
          <w:rFonts w:asciiTheme="minorHAnsi" w:hAnsiTheme="minorHAnsi"/>
          <w:color w:val="000000"/>
          <w:sz w:val="28"/>
          <w:szCs w:val="28"/>
        </w:rPr>
        <w:t>Team teaching is certainly up for discussion and review as t</w:t>
      </w:r>
      <w:r w:rsidR="00913826">
        <w:rPr>
          <w:rFonts w:asciiTheme="minorHAnsi" w:hAnsiTheme="minorHAnsi"/>
          <w:color w:val="000000"/>
          <w:sz w:val="28"/>
          <w:szCs w:val="28"/>
        </w:rPr>
        <w:t>here are some good merits to it as outline here and it would be appropriate for certain courses and subjects.</w:t>
      </w:r>
    </w:p>
    <w:p w:rsidR="0001207F" w:rsidRDefault="0001207F" w:rsidP="006C280D">
      <w:pPr>
        <w:rPr>
          <w:rFonts w:asciiTheme="minorHAnsi" w:hAnsiTheme="minorHAnsi"/>
          <w:b/>
          <w:color w:val="000000"/>
          <w:sz w:val="28"/>
          <w:szCs w:val="28"/>
        </w:rPr>
      </w:pPr>
    </w:p>
    <w:p w:rsidR="006C280D" w:rsidRPr="000E130A" w:rsidRDefault="006C280D" w:rsidP="006C280D">
      <w:pPr>
        <w:rPr>
          <w:rFonts w:asciiTheme="minorHAnsi" w:hAnsiTheme="minorHAnsi"/>
          <w:b/>
          <w:color w:val="000000"/>
          <w:sz w:val="28"/>
          <w:szCs w:val="28"/>
        </w:rPr>
      </w:pPr>
      <w:r w:rsidRPr="000E130A">
        <w:rPr>
          <w:rFonts w:asciiTheme="minorHAnsi" w:hAnsiTheme="minorHAnsi"/>
          <w:b/>
          <w:color w:val="000000"/>
          <w:sz w:val="28"/>
          <w:szCs w:val="28"/>
        </w:rPr>
        <w:t>References</w:t>
      </w:r>
    </w:p>
    <w:p w:rsidR="00111B0A" w:rsidRPr="000E130A" w:rsidRDefault="009E390D" w:rsidP="006C280D">
      <w:pPr>
        <w:pStyle w:val="ListParagraph"/>
        <w:numPr>
          <w:ilvl w:val="0"/>
          <w:numId w:val="9"/>
        </w:numPr>
        <w:rPr>
          <w:rStyle w:val="Hyperlink"/>
          <w:rFonts w:asciiTheme="minorHAnsi" w:hAnsiTheme="minorHAnsi"/>
          <w:color w:val="auto"/>
          <w:sz w:val="28"/>
          <w:szCs w:val="28"/>
          <w:u w:val="none"/>
        </w:rPr>
      </w:pPr>
      <w:hyperlink r:id="rId10" w:history="1">
        <w:r w:rsidR="00564737" w:rsidRPr="000E130A">
          <w:rPr>
            <w:rStyle w:val="Hyperlink"/>
            <w:rFonts w:asciiTheme="minorHAnsi" w:hAnsiTheme="minorHAnsi" w:cstheme="minorHAnsi"/>
            <w:color w:val="000000" w:themeColor="text1"/>
            <w:sz w:val="28"/>
            <w:szCs w:val="28"/>
            <w:u w:val="none"/>
          </w:rPr>
          <w:t>Brookfield,</w:t>
        </w:r>
      </w:hyperlink>
      <w:r w:rsidR="00564737" w:rsidRPr="000E130A">
        <w:rPr>
          <w:rStyle w:val="Hyperlink"/>
          <w:rFonts w:asciiTheme="minorHAnsi" w:hAnsiTheme="minorHAnsi" w:cstheme="minorHAnsi"/>
          <w:color w:val="000000" w:themeColor="text1"/>
          <w:sz w:val="28"/>
          <w:szCs w:val="28"/>
          <w:u w:val="none"/>
        </w:rPr>
        <w:t xml:space="preserve"> </w:t>
      </w:r>
      <w:r w:rsidR="003810D2" w:rsidRPr="000E130A">
        <w:rPr>
          <w:rStyle w:val="Hyperlink"/>
          <w:rFonts w:asciiTheme="minorHAnsi" w:hAnsiTheme="minorHAnsi" w:cstheme="minorHAnsi"/>
          <w:color w:val="000000" w:themeColor="text1"/>
          <w:sz w:val="28"/>
          <w:szCs w:val="28"/>
          <w:u w:val="none"/>
        </w:rPr>
        <w:t>Stephen D. The Skillful Teacher 3</w:t>
      </w:r>
      <w:r w:rsidR="003810D2" w:rsidRPr="000E130A">
        <w:rPr>
          <w:rStyle w:val="Hyperlink"/>
          <w:rFonts w:asciiTheme="minorHAnsi" w:hAnsiTheme="minorHAnsi" w:cstheme="minorHAnsi"/>
          <w:color w:val="000000" w:themeColor="text1"/>
          <w:sz w:val="28"/>
          <w:szCs w:val="28"/>
          <w:u w:val="none"/>
          <w:vertAlign w:val="superscript"/>
        </w:rPr>
        <w:t>rd</w:t>
      </w:r>
      <w:r w:rsidR="003810D2" w:rsidRPr="000E130A">
        <w:rPr>
          <w:rStyle w:val="Hyperlink"/>
          <w:rFonts w:asciiTheme="minorHAnsi" w:hAnsiTheme="minorHAnsi" w:cstheme="minorHAnsi"/>
          <w:color w:val="000000" w:themeColor="text1"/>
          <w:sz w:val="28"/>
          <w:szCs w:val="28"/>
          <w:u w:val="none"/>
        </w:rPr>
        <w:t xml:space="preserve"> Edition Jossey Bass 2915</w:t>
      </w:r>
    </w:p>
    <w:p w:rsidR="00BA5ED7" w:rsidRPr="000E130A" w:rsidRDefault="00BA5ED7" w:rsidP="00BA5ED7">
      <w:pPr>
        <w:pStyle w:val="ListParagraph"/>
        <w:numPr>
          <w:ilvl w:val="0"/>
          <w:numId w:val="9"/>
        </w:numPr>
        <w:spacing w:before="100" w:beforeAutospacing="1" w:after="100" w:afterAutospacing="1"/>
        <w:rPr>
          <w:rFonts w:asciiTheme="minorHAnsi" w:hAnsiTheme="minorHAnsi"/>
          <w:sz w:val="28"/>
          <w:szCs w:val="28"/>
          <w:lang w:val="en"/>
        </w:rPr>
      </w:pPr>
      <w:r w:rsidRPr="000E130A">
        <w:rPr>
          <w:rFonts w:asciiTheme="minorHAnsi" w:hAnsiTheme="minorHAnsi"/>
          <w:sz w:val="28"/>
          <w:szCs w:val="28"/>
          <w:lang w:val="en"/>
        </w:rPr>
        <w:t>Tomlinson, C.A. (2015). Teaching in tandem: A reflection</w:t>
      </w:r>
      <w:r w:rsidRPr="000E130A">
        <w:rPr>
          <w:rFonts w:asciiTheme="minorHAnsi" w:hAnsiTheme="minorHAnsi"/>
          <w:i/>
          <w:iCs/>
          <w:sz w:val="28"/>
          <w:szCs w:val="28"/>
          <w:lang w:val="en"/>
        </w:rPr>
        <w:t>. Educational Leadership</w:t>
      </w:r>
      <w:r w:rsidRPr="000E130A">
        <w:rPr>
          <w:rFonts w:asciiTheme="minorHAnsi" w:hAnsiTheme="minorHAnsi"/>
          <w:sz w:val="28"/>
          <w:szCs w:val="28"/>
          <w:lang w:val="en"/>
        </w:rPr>
        <w:t>, December 2015/January 2016, 90-91.</w:t>
      </w:r>
    </w:p>
    <w:p w:rsidR="00BA5ED7" w:rsidRDefault="000E130A" w:rsidP="000E130A">
      <w:pPr>
        <w:pStyle w:val="ListParagraph"/>
        <w:numPr>
          <w:ilvl w:val="0"/>
          <w:numId w:val="9"/>
        </w:numPr>
        <w:rPr>
          <w:rStyle w:val="Hyperlink"/>
          <w:rFonts w:asciiTheme="minorHAnsi" w:hAnsiTheme="minorHAnsi"/>
          <w:color w:val="auto"/>
          <w:sz w:val="28"/>
          <w:szCs w:val="28"/>
          <w:u w:val="none"/>
        </w:rPr>
      </w:pPr>
      <w:r w:rsidRPr="000E130A">
        <w:rPr>
          <w:rStyle w:val="Hyperlink"/>
          <w:rFonts w:asciiTheme="minorHAnsi" w:hAnsiTheme="minorHAnsi"/>
          <w:color w:val="auto"/>
          <w:sz w:val="28"/>
          <w:szCs w:val="28"/>
          <w:u w:val="none"/>
        </w:rPr>
        <w:t xml:space="preserve">Team or Collaborative Teaching – Website </w:t>
      </w:r>
      <w:hyperlink r:id="rId11" w:history="1">
        <w:r w:rsidRPr="000E130A">
          <w:rPr>
            <w:rStyle w:val="Hyperlink"/>
            <w:rFonts w:asciiTheme="minorHAnsi" w:hAnsiTheme="minorHAnsi"/>
            <w:sz w:val="28"/>
            <w:szCs w:val="28"/>
          </w:rPr>
          <w:t>https://cft.vanderbilt.edu/guides-sub-pages/teamcollaborative-teaching/</w:t>
        </w:r>
      </w:hyperlink>
      <w:r w:rsidRPr="000E130A">
        <w:rPr>
          <w:rStyle w:val="Hyperlink"/>
          <w:rFonts w:asciiTheme="minorHAnsi" w:hAnsiTheme="minorHAnsi"/>
          <w:color w:val="auto"/>
          <w:sz w:val="28"/>
          <w:szCs w:val="28"/>
          <w:u w:val="none"/>
        </w:rPr>
        <w:t xml:space="preserve"> </w:t>
      </w:r>
    </w:p>
    <w:p w:rsidR="0001207F" w:rsidRPr="000E130A" w:rsidRDefault="0001207F" w:rsidP="0001207F">
      <w:pPr>
        <w:pStyle w:val="ListParagraph"/>
        <w:numPr>
          <w:ilvl w:val="0"/>
          <w:numId w:val="9"/>
        </w:numPr>
        <w:rPr>
          <w:rStyle w:val="Hyperlink"/>
          <w:rFonts w:asciiTheme="minorHAnsi" w:hAnsiTheme="minorHAnsi"/>
          <w:color w:val="auto"/>
          <w:sz w:val="28"/>
          <w:szCs w:val="28"/>
          <w:u w:val="none"/>
        </w:rPr>
      </w:pPr>
      <w:r>
        <w:rPr>
          <w:rStyle w:val="Hyperlink"/>
          <w:rFonts w:asciiTheme="minorHAnsi" w:hAnsiTheme="minorHAnsi"/>
          <w:color w:val="auto"/>
          <w:sz w:val="28"/>
          <w:szCs w:val="28"/>
          <w:u w:val="none"/>
        </w:rPr>
        <w:t xml:space="preserve">Team Teaching – Advantages and Disadvantages - Website </w:t>
      </w:r>
      <w:hyperlink r:id="rId12" w:history="1">
        <w:r w:rsidRPr="00A82FE3">
          <w:rPr>
            <w:rStyle w:val="Hyperlink"/>
            <w:rFonts w:asciiTheme="minorHAnsi" w:hAnsiTheme="minorHAnsi"/>
            <w:sz w:val="28"/>
            <w:szCs w:val="28"/>
          </w:rPr>
          <w:t>http://education.stateuniversity.com/pages/2493/Team-Teaching.html</w:t>
        </w:r>
      </w:hyperlink>
      <w:r>
        <w:rPr>
          <w:rStyle w:val="Hyperlink"/>
          <w:rFonts w:asciiTheme="minorHAnsi" w:hAnsiTheme="minorHAnsi"/>
          <w:color w:val="auto"/>
          <w:sz w:val="28"/>
          <w:szCs w:val="28"/>
          <w:u w:val="none"/>
        </w:rPr>
        <w:t xml:space="preserve"> </w:t>
      </w:r>
    </w:p>
    <w:sectPr w:rsidR="0001207F" w:rsidRPr="000E130A">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171" w:rsidRDefault="000B7171" w:rsidP="000B7171">
      <w:r>
        <w:separator/>
      </w:r>
    </w:p>
  </w:endnote>
  <w:endnote w:type="continuationSeparator" w:id="0">
    <w:p w:rsidR="000B7171" w:rsidRDefault="000B7171" w:rsidP="000B7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PT Sans Regular">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5892043"/>
      <w:docPartObj>
        <w:docPartGallery w:val="Page Numbers (Bottom of Page)"/>
        <w:docPartUnique/>
      </w:docPartObj>
    </w:sdtPr>
    <w:sdtEndPr>
      <w:rPr>
        <w:color w:val="7F7F7F" w:themeColor="background1" w:themeShade="7F"/>
        <w:spacing w:val="60"/>
      </w:rPr>
    </w:sdtEndPr>
    <w:sdtContent>
      <w:p w:rsidR="000B7171" w:rsidRDefault="00060FB2">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9E390D">
          <w:rPr>
            <w:noProof/>
          </w:rPr>
          <w:t>5</w:t>
        </w:r>
        <w:r w:rsidR="000B7171">
          <w:rPr>
            <w:noProof/>
          </w:rPr>
          <w:fldChar w:fldCharType="end"/>
        </w:r>
        <w:r w:rsidR="000B7171">
          <w:t xml:space="preserve"> | </w:t>
        </w:r>
        <w:r w:rsidR="000B7171">
          <w:rPr>
            <w:color w:val="7F7F7F" w:themeColor="background1" w:themeShade="7F"/>
            <w:spacing w:val="60"/>
          </w:rPr>
          <w:t>Page</w:t>
        </w:r>
      </w:p>
    </w:sdtContent>
  </w:sdt>
  <w:p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171" w:rsidRDefault="000B7171" w:rsidP="000B7171">
      <w:r>
        <w:separator/>
      </w:r>
    </w:p>
  </w:footnote>
  <w:footnote w:type="continuationSeparator" w:id="0">
    <w:p w:rsidR="000B7171" w:rsidRDefault="000B7171" w:rsidP="000B71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342607"/>
    <w:multiLevelType w:val="hybridMultilevel"/>
    <w:tmpl w:val="0D92D93C"/>
    <w:lvl w:ilvl="0" w:tplc="A3C8CADA">
      <w:start w:val="1"/>
      <w:numFmt w:val="bullet"/>
      <w:lvlText w:val=""/>
      <w:lvlJc w:val="left"/>
      <w:pPr>
        <w:ind w:left="1440" w:hanging="360"/>
      </w:pPr>
      <w:rPr>
        <w:rFonts w:ascii="Wingdings" w:hAnsi="Wingdings" w:hint="default"/>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B0C4A53"/>
    <w:multiLevelType w:val="hybridMultilevel"/>
    <w:tmpl w:val="C1E4CA30"/>
    <w:lvl w:ilvl="0" w:tplc="20F6BF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F75301"/>
    <w:multiLevelType w:val="multilevel"/>
    <w:tmpl w:val="2D547F7E"/>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 w15:restartNumberingAfterBreak="0">
    <w:nsid w:val="280F097B"/>
    <w:multiLevelType w:val="hybridMultilevel"/>
    <w:tmpl w:val="63E855DC"/>
    <w:lvl w:ilvl="0" w:tplc="AB0A09D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3F2185"/>
    <w:multiLevelType w:val="hybridMultilevel"/>
    <w:tmpl w:val="FDB0E5E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1839B2"/>
    <w:multiLevelType w:val="hybridMultilevel"/>
    <w:tmpl w:val="47980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A84DA5"/>
    <w:multiLevelType w:val="hybridMultilevel"/>
    <w:tmpl w:val="D0D2C9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10"/>
  </w:num>
  <w:num w:numId="4">
    <w:abstractNumId w:val="3"/>
  </w:num>
  <w:num w:numId="5">
    <w:abstractNumId w:val="6"/>
  </w:num>
  <w:num w:numId="6">
    <w:abstractNumId w:val="1"/>
  </w:num>
  <w:num w:numId="7">
    <w:abstractNumId w:val="9"/>
  </w:num>
  <w:num w:numId="8">
    <w:abstractNumId w:val="8"/>
  </w:num>
  <w:num w:numId="9">
    <w:abstractNumId w:val="5"/>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A7"/>
    <w:rsid w:val="0001207F"/>
    <w:rsid w:val="00060FB2"/>
    <w:rsid w:val="000B7171"/>
    <w:rsid w:val="000D511B"/>
    <w:rsid w:val="000E130A"/>
    <w:rsid w:val="001017B4"/>
    <w:rsid w:val="00111B0A"/>
    <w:rsid w:val="001342EB"/>
    <w:rsid w:val="0016714F"/>
    <w:rsid w:val="00174CD6"/>
    <w:rsid w:val="001D726C"/>
    <w:rsid w:val="00256940"/>
    <w:rsid w:val="002B3CAE"/>
    <w:rsid w:val="00301990"/>
    <w:rsid w:val="00353811"/>
    <w:rsid w:val="003546CD"/>
    <w:rsid w:val="003810D2"/>
    <w:rsid w:val="00383024"/>
    <w:rsid w:val="00436817"/>
    <w:rsid w:val="00470BFE"/>
    <w:rsid w:val="004A4FBE"/>
    <w:rsid w:val="004B4FD9"/>
    <w:rsid w:val="00541F83"/>
    <w:rsid w:val="00564737"/>
    <w:rsid w:val="005D4958"/>
    <w:rsid w:val="00625171"/>
    <w:rsid w:val="00643049"/>
    <w:rsid w:val="00656407"/>
    <w:rsid w:val="00681233"/>
    <w:rsid w:val="00691DE2"/>
    <w:rsid w:val="006C280D"/>
    <w:rsid w:val="00717393"/>
    <w:rsid w:val="007B2415"/>
    <w:rsid w:val="008055F4"/>
    <w:rsid w:val="00812BA7"/>
    <w:rsid w:val="008145FD"/>
    <w:rsid w:val="00870EB2"/>
    <w:rsid w:val="008B1951"/>
    <w:rsid w:val="008B5F16"/>
    <w:rsid w:val="008F6512"/>
    <w:rsid w:val="00913826"/>
    <w:rsid w:val="00960D49"/>
    <w:rsid w:val="0099697B"/>
    <w:rsid w:val="009E15CB"/>
    <w:rsid w:val="009E390D"/>
    <w:rsid w:val="00A267B5"/>
    <w:rsid w:val="00A73FCE"/>
    <w:rsid w:val="00AB7907"/>
    <w:rsid w:val="00AD1740"/>
    <w:rsid w:val="00AD6F23"/>
    <w:rsid w:val="00B3292D"/>
    <w:rsid w:val="00B375FD"/>
    <w:rsid w:val="00B43E15"/>
    <w:rsid w:val="00BA5ED7"/>
    <w:rsid w:val="00BF0462"/>
    <w:rsid w:val="00CE3C31"/>
    <w:rsid w:val="00DB6451"/>
    <w:rsid w:val="00E73455"/>
    <w:rsid w:val="00EA329E"/>
    <w:rsid w:val="00EA7B6F"/>
    <w:rsid w:val="00FC1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DE670BE"/>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D511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paragraph" w:styleId="NormalWeb">
    <w:name w:val="Normal (Web)"/>
    <w:basedOn w:val="Normal"/>
    <w:uiPriority w:val="99"/>
    <w:semiHidden/>
    <w:unhideWhenUsed/>
    <w:rsid w:val="00AD6F23"/>
    <w:pPr>
      <w:spacing w:after="150"/>
    </w:pPr>
  </w:style>
  <w:style w:type="character" w:styleId="FollowedHyperlink">
    <w:name w:val="FollowedHyperlink"/>
    <w:basedOn w:val="DefaultParagraphFont"/>
    <w:uiPriority w:val="99"/>
    <w:semiHidden/>
    <w:unhideWhenUsed/>
    <w:rsid w:val="006C280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6951">
      <w:bodyDiv w:val="1"/>
      <w:marLeft w:val="0"/>
      <w:marRight w:val="0"/>
      <w:marTop w:val="0"/>
      <w:marBottom w:val="0"/>
      <w:divBdr>
        <w:top w:val="none" w:sz="0" w:space="0" w:color="auto"/>
        <w:left w:val="none" w:sz="0" w:space="0" w:color="auto"/>
        <w:bottom w:val="none" w:sz="0" w:space="0" w:color="auto"/>
        <w:right w:val="none" w:sz="0" w:space="0" w:color="auto"/>
      </w:divBdr>
      <w:divsChild>
        <w:div w:id="1144391300">
          <w:marLeft w:val="0"/>
          <w:marRight w:val="0"/>
          <w:marTop w:val="0"/>
          <w:marBottom w:val="0"/>
          <w:divBdr>
            <w:top w:val="none" w:sz="0" w:space="0" w:color="auto"/>
            <w:left w:val="none" w:sz="0" w:space="0" w:color="auto"/>
            <w:bottom w:val="none" w:sz="0" w:space="0" w:color="auto"/>
            <w:right w:val="none" w:sz="0" w:space="0" w:color="auto"/>
          </w:divBdr>
          <w:divsChild>
            <w:div w:id="653140909">
              <w:marLeft w:val="0"/>
              <w:marRight w:val="0"/>
              <w:marTop w:val="0"/>
              <w:marBottom w:val="0"/>
              <w:divBdr>
                <w:top w:val="none" w:sz="0" w:space="0" w:color="auto"/>
                <w:left w:val="none" w:sz="0" w:space="0" w:color="auto"/>
                <w:bottom w:val="none" w:sz="0" w:space="0" w:color="auto"/>
                <w:right w:val="none" w:sz="0" w:space="0" w:color="auto"/>
              </w:divBdr>
              <w:divsChild>
                <w:div w:id="1476875267">
                  <w:marLeft w:val="0"/>
                  <w:marRight w:val="0"/>
                  <w:marTop w:val="0"/>
                  <w:marBottom w:val="0"/>
                  <w:divBdr>
                    <w:top w:val="none" w:sz="0" w:space="0" w:color="auto"/>
                    <w:left w:val="none" w:sz="0" w:space="0" w:color="auto"/>
                    <w:bottom w:val="none" w:sz="0" w:space="0" w:color="auto"/>
                    <w:right w:val="none" w:sz="0" w:space="0" w:color="auto"/>
                  </w:divBdr>
                  <w:divsChild>
                    <w:div w:id="1419322983">
                      <w:marLeft w:val="0"/>
                      <w:marRight w:val="0"/>
                      <w:marTop w:val="0"/>
                      <w:marBottom w:val="0"/>
                      <w:divBdr>
                        <w:top w:val="none" w:sz="0" w:space="0" w:color="auto"/>
                        <w:left w:val="none" w:sz="0" w:space="0" w:color="auto"/>
                        <w:bottom w:val="none" w:sz="0" w:space="0" w:color="auto"/>
                        <w:right w:val="none" w:sz="0" w:space="0" w:color="auto"/>
                      </w:divBdr>
                      <w:divsChild>
                        <w:div w:id="472523340">
                          <w:marLeft w:val="0"/>
                          <w:marRight w:val="0"/>
                          <w:marTop w:val="0"/>
                          <w:marBottom w:val="0"/>
                          <w:divBdr>
                            <w:top w:val="none" w:sz="0" w:space="0" w:color="auto"/>
                            <w:left w:val="none" w:sz="0" w:space="0" w:color="auto"/>
                            <w:bottom w:val="none" w:sz="0" w:space="0" w:color="auto"/>
                            <w:right w:val="none" w:sz="0" w:space="0" w:color="auto"/>
                          </w:divBdr>
                          <w:divsChild>
                            <w:div w:id="804659933">
                              <w:marLeft w:val="0"/>
                              <w:marRight w:val="0"/>
                              <w:marTop w:val="0"/>
                              <w:marBottom w:val="0"/>
                              <w:divBdr>
                                <w:top w:val="none" w:sz="0" w:space="0" w:color="auto"/>
                                <w:left w:val="none" w:sz="0" w:space="0" w:color="auto"/>
                                <w:bottom w:val="none" w:sz="0" w:space="0" w:color="auto"/>
                                <w:right w:val="none" w:sz="0" w:space="0" w:color="auto"/>
                              </w:divBdr>
                              <w:divsChild>
                                <w:div w:id="154771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5613776">
      <w:bodyDiv w:val="1"/>
      <w:marLeft w:val="0"/>
      <w:marRight w:val="0"/>
      <w:marTop w:val="0"/>
      <w:marBottom w:val="0"/>
      <w:divBdr>
        <w:top w:val="none" w:sz="0" w:space="0" w:color="auto"/>
        <w:left w:val="none" w:sz="0" w:space="0" w:color="auto"/>
        <w:bottom w:val="none" w:sz="0" w:space="0" w:color="auto"/>
        <w:right w:val="none" w:sz="0" w:space="0" w:color="auto"/>
      </w:divBdr>
    </w:div>
    <w:div w:id="463274469">
      <w:bodyDiv w:val="1"/>
      <w:marLeft w:val="0"/>
      <w:marRight w:val="0"/>
      <w:marTop w:val="0"/>
      <w:marBottom w:val="0"/>
      <w:divBdr>
        <w:top w:val="none" w:sz="0" w:space="0" w:color="auto"/>
        <w:left w:val="none" w:sz="0" w:space="0" w:color="auto"/>
        <w:bottom w:val="none" w:sz="0" w:space="0" w:color="auto"/>
        <w:right w:val="none" w:sz="0" w:space="0" w:color="auto"/>
      </w:divBdr>
      <w:divsChild>
        <w:div w:id="1999460906">
          <w:marLeft w:val="0"/>
          <w:marRight w:val="0"/>
          <w:marTop w:val="0"/>
          <w:marBottom w:val="0"/>
          <w:divBdr>
            <w:top w:val="none" w:sz="0" w:space="0" w:color="auto"/>
            <w:left w:val="none" w:sz="0" w:space="0" w:color="auto"/>
            <w:bottom w:val="none" w:sz="0" w:space="0" w:color="auto"/>
            <w:right w:val="none" w:sz="0" w:space="0" w:color="auto"/>
          </w:divBdr>
          <w:divsChild>
            <w:div w:id="848758724">
              <w:marLeft w:val="0"/>
              <w:marRight w:val="0"/>
              <w:marTop w:val="0"/>
              <w:marBottom w:val="0"/>
              <w:divBdr>
                <w:top w:val="none" w:sz="0" w:space="0" w:color="auto"/>
                <w:left w:val="none" w:sz="0" w:space="0" w:color="auto"/>
                <w:bottom w:val="none" w:sz="0" w:space="0" w:color="auto"/>
                <w:right w:val="none" w:sz="0" w:space="0" w:color="auto"/>
              </w:divBdr>
              <w:divsChild>
                <w:div w:id="846752927">
                  <w:marLeft w:val="0"/>
                  <w:marRight w:val="0"/>
                  <w:marTop w:val="300"/>
                  <w:marBottom w:val="0"/>
                  <w:divBdr>
                    <w:top w:val="none" w:sz="0" w:space="0" w:color="auto"/>
                    <w:left w:val="none" w:sz="0" w:space="0" w:color="auto"/>
                    <w:bottom w:val="none" w:sz="0" w:space="0" w:color="auto"/>
                    <w:right w:val="none" w:sz="0" w:space="0" w:color="auto"/>
                  </w:divBdr>
                  <w:divsChild>
                    <w:div w:id="178048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140734">
      <w:bodyDiv w:val="1"/>
      <w:marLeft w:val="0"/>
      <w:marRight w:val="0"/>
      <w:marTop w:val="0"/>
      <w:marBottom w:val="0"/>
      <w:divBdr>
        <w:top w:val="none" w:sz="0" w:space="0" w:color="auto"/>
        <w:left w:val="none" w:sz="0" w:space="0" w:color="auto"/>
        <w:bottom w:val="none" w:sz="0" w:space="0" w:color="auto"/>
        <w:right w:val="none" w:sz="0" w:space="0" w:color="auto"/>
      </w:divBdr>
      <w:divsChild>
        <w:div w:id="691418654">
          <w:marLeft w:val="0"/>
          <w:marRight w:val="0"/>
          <w:marTop w:val="0"/>
          <w:marBottom w:val="0"/>
          <w:divBdr>
            <w:top w:val="none" w:sz="0" w:space="0" w:color="auto"/>
            <w:left w:val="none" w:sz="0" w:space="0" w:color="auto"/>
            <w:bottom w:val="none" w:sz="0" w:space="0" w:color="auto"/>
            <w:right w:val="none" w:sz="0" w:space="0" w:color="auto"/>
          </w:divBdr>
          <w:divsChild>
            <w:div w:id="1301224471">
              <w:marLeft w:val="0"/>
              <w:marRight w:val="0"/>
              <w:marTop w:val="0"/>
              <w:marBottom w:val="0"/>
              <w:divBdr>
                <w:top w:val="none" w:sz="0" w:space="0" w:color="auto"/>
                <w:left w:val="none" w:sz="0" w:space="0" w:color="auto"/>
                <w:bottom w:val="none" w:sz="0" w:space="0" w:color="auto"/>
                <w:right w:val="none" w:sz="0" w:space="0" w:color="auto"/>
              </w:divBdr>
              <w:divsChild>
                <w:div w:id="320281440">
                  <w:marLeft w:val="0"/>
                  <w:marRight w:val="0"/>
                  <w:marTop w:val="300"/>
                  <w:marBottom w:val="0"/>
                  <w:divBdr>
                    <w:top w:val="none" w:sz="0" w:space="0" w:color="auto"/>
                    <w:left w:val="none" w:sz="0" w:space="0" w:color="auto"/>
                    <w:bottom w:val="none" w:sz="0" w:space="0" w:color="auto"/>
                    <w:right w:val="none" w:sz="0" w:space="0" w:color="auto"/>
                  </w:divBdr>
                  <w:divsChild>
                    <w:div w:id="133464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ducation.stateuniversity.com/pages/2493/Team-Teaching.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ft.vanderbilt.edu/guides-sub-pages/teamcollaborative-teachin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teachinglearningresources.pbworks.com/w/page/19919565/Learning%20Theories" TargetMode="External"/><Relationship Id="rId4" Type="http://schemas.openxmlformats.org/officeDocument/2006/relationships/settings" Target="settings.xml"/><Relationship Id="rId9" Type="http://schemas.openxmlformats.org/officeDocument/2006/relationships/hyperlink" Target="http://cte.udel.edu/sites/cte.udel.edu/files/u7/v14n6.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1D704-B4BF-462F-B20D-ACC3029A3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5</Pages>
  <Words>1140</Words>
  <Characters>6504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Reflective Writing</vt:lpstr>
    </vt:vector>
  </TitlesOfParts>
  <Company>CNAQ</Company>
  <LinksUpToDate>false</LinksUpToDate>
  <CharactersWithSpaces>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Reflective Writing</dc:title>
  <dc:subject/>
  <dc:creator>Robertson, Peter</dc:creator>
  <cp:keywords>Reflective Writing</cp:keywords>
  <dc:description/>
  <cp:lastModifiedBy>Peter Robertson</cp:lastModifiedBy>
  <cp:revision>8</cp:revision>
  <cp:lastPrinted>2016-09-08T08:54:00Z</cp:lastPrinted>
  <dcterms:created xsi:type="dcterms:W3CDTF">2017-01-13T08:52:00Z</dcterms:created>
  <dcterms:modified xsi:type="dcterms:W3CDTF">2017-01-14T09:40:00Z</dcterms:modified>
</cp:coreProperties>
</file>